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579C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Knutepunktene:</w:t>
      </w:r>
    </w:p>
    <w:p w14:paraId="626DFB20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Disse fem prosjektene får støtte:</w:t>
      </w:r>
    </w:p>
    <w:p w14:paraId="3047D36B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Glomfjord: </w:t>
      </w:r>
      <w:r>
        <w:rPr>
          <w:rFonts w:ascii="var(--paragraph_font_family)" w:hAnsi="var(--paragraph_font_family)"/>
          <w:color w:val="444444"/>
          <w:sz w:val="27"/>
          <w:szCs w:val="27"/>
        </w:rPr>
        <w:t xml:space="preserve">Enova støtter produksjonsanlegg for grønt hydrogen i Glomfjord med opptil 150 millioner kroner. Målet er å etablere et anlegg i Glomfjord i Meløy kommune og levere komprimert hydrogen per dag til kunder innen sjø- og landtransport. Eierne av Glomfjord Hydrogen AS er Greenstat ASA,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Nel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 xml:space="preserve"> ASA, Meløy Energi AS og Troms Kraft AS.</w:t>
      </w:r>
    </w:p>
    <w:p w14:paraId="4E866CB6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Rørvik: </w:t>
      </w:r>
      <w:r>
        <w:rPr>
          <w:rFonts w:ascii="var(--paragraph_font_family)" w:hAnsi="var(--paragraph_font_family)"/>
          <w:color w:val="444444"/>
          <w:sz w:val="27"/>
          <w:szCs w:val="27"/>
        </w:rPr>
        <w:t>Enova støtter produksjonsanlegg for grønt hydrogen i Rørvik med opptil 125,7 millioner kroner. I prosjektet Hydrogenknutepunkt Rørvik vil NTE og H2 Marine i samarbeid med flere aktører bygge et hydrogenproduksjonsanlegg, for å kunne levere hydrogen til et bredt utvalg av fartøy.</w:t>
      </w:r>
    </w:p>
    <w:p w14:paraId="16056ED7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Hitra: </w:t>
      </w:r>
      <w:r>
        <w:rPr>
          <w:rFonts w:ascii="var(--paragraph_font_family)" w:hAnsi="var(--paragraph_font_family)"/>
          <w:color w:val="444444"/>
          <w:sz w:val="27"/>
          <w:szCs w:val="27"/>
        </w:rPr>
        <w:t xml:space="preserve">Enova støtter produksjonsanlegg for grønt hydrogen på Hitra med opptil 113 millioner kroner. Produksjonsoppstart planlegges i 2025. Hydrogenknutepunkt Midt-Norge er et fellesprosjekt mellom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TrønderEnergi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 xml:space="preserve"> og Statkraft som ønsker å etablere et anlegg for hydrogenproduksjon og -bunkring på Hitra Industripark og Kysthavn,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Jøsnøya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>.</w:t>
      </w:r>
    </w:p>
    <w:p w14:paraId="6979F715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Florø: </w:t>
      </w:r>
      <w:r>
        <w:rPr>
          <w:rFonts w:ascii="var(--paragraph_font_family)" w:hAnsi="var(--paragraph_font_family)"/>
          <w:color w:val="444444"/>
          <w:sz w:val="27"/>
          <w:szCs w:val="27"/>
        </w:rPr>
        <w:t xml:space="preserve">Enova støtter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HyFuels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 xml:space="preserve"> produksjonsanlegg for grønt hydrogen i Florø med opptil 132 millioner kroner. Fjord Base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Holding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 xml:space="preserve"> (FBH) har sammen med Sogn og Fjordane Energi AS (SFE) og Gasnor AS etablert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HyFuel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 xml:space="preserve"> AS.</w:t>
      </w:r>
    </w:p>
    <w:p w14:paraId="0708DDB0" w14:textId="77777777" w:rsidR="00982292" w:rsidRDefault="00982292" w:rsidP="00982292">
      <w:pPr>
        <w:pStyle w:val="NormalWeb"/>
        <w:shd w:val="clear" w:color="auto" w:fill="FFFFFF"/>
        <w:spacing w:after="0" w:afterAutospacing="0"/>
        <w:rPr>
          <w:rFonts w:ascii="var(--paragraph_font_family)" w:hAnsi="var(--paragraph_font_family)"/>
          <w:color w:val="444444"/>
          <w:sz w:val="27"/>
          <w:szCs w:val="27"/>
        </w:rPr>
      </w:pPr>
      <w:r>
        <w:rPr>
          <w:rStyle w:val="Strong"/>
          <w:rFonts w:ascii="var(--paragraph_font_family)" w:hAnsi="var(--paragraph_font_family)"/>
          <w:color w:val="444444"/>
          <w:sz w:val="27"/>
          <w:szCs w:val="27"/>
        </w:rPr>
        <w:t>Kristiansand: </w:t>
      </w:r>
      <w:r>
        <w:rPr>
          <w:rFonts w:ascii="var(--paragraph_font_family)" w:hAnsi="var(--paragraph_font_family)"/>
          <w:color w:val="444444"/>
          <w:sz w:val="27"/>
          <w:szCs w:val="27"/>
        </w:rPr>
        <w:t xml:space="preserve">Enova støtter Hydrogenknutepunkt Agder med opptil 148 millioner kroner. Målet er å produsere og selge komprimert hydrogen til båter som er i rute via Kristiansand. Hydrogenknutepunkt Agder ledes av selskapene </w:t>
      </w:r>
      <w:proofErr w:type="spellStart"/>
      <w:r>
        <w:rPr>
          <w:rFonts w:ascii="var(--paragraph_font_family)" w:hAnsi="var(--paragraph_font_family)"/>
          <w:color w:val="444444"/>
          <w:sz w:val="27"/>
          <w:szCs w:val="27"/>
        </w:rPr>
        <w:t>Everfuel</w:t>
      </w:r>
      <w:proofErr w:type="spellEnd"/>
      <w:r>
        <w:rPr>
          <w:rFonts w:ascii="var(--paragraph_font_family)" w:hAnsi="var(--paragraph_font_family)"/>
          <w:color w:val="444444"/>
          <w:sz w:val="27"/>
          <w:szCs w:val="27"/>
        </w:rPr>
        <w:t xml:space="preserve"> AS og Greenstat ASA i samarbeid med etablert industri i EYDE nettverket og andre aktører.</w:t>
      </w:r>
    </w:p>
    <w:p w14:paraId="6F6A306E" w14:textId="77777777" w:rsidR="00505681" w:rsidRDefault="00982292"/>
    <w:sectPr w:rsidR="0050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B142" w14:textId="77777777" w:rsidR="00982292" w:rsidRDefault="00982292" w:rsidP="00982292">
      <w:pPr>
        <w:spacing w:after="0" w:line="240" w:lineRule="auto"/>
      </w:pPr>
      <w:r>
        <w:separator/>
      </w:r>
    </w:p>
  </w:endnote>
  <w:endnote w:type="continuationSeparator" w:id="0">
    <w:p w14:paraId="6DB85AEB" w14:textId="77777777" w:rsidR="00982292" w:rsidRDefault="00982292" w:rsidP="0098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paragraph_font_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A1ED" w14:textId="77777777" w:rsidR="00982292" w:rsidRDefault="00982292" w:rsidP="00982292">
      <w:pPr>
        <w:spacing w:after="0" w:line="240" w:lineRule="auto"/>
      </w:pPr>
      <w:r>
        <w:separator/>
      </w:r>
    </w:p>
  </w:footnote>
  <w:footnote w:type="continuationSeparator" w:id="0">
    <w:p w14:paraId="3516C3F7" w14:textId="77777777" w:rsidR="00982292" w:rsidRDefault="00982292" w:rsidP="0098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2-06-29T09:50:12Z"/>
  </w:docVars>
  <w:rsids>
    <w:rsidRoot w:val="00982292"/>
    <w:rsid w:val="004F30A1"/>
    <w:rsid w:val="00982292"/>
    <w:rsid w:val="00B16862"/>
    <w:rsid w:val="00F17E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447F"/>
  <w15:chartTrackingRefBased/>
  <w15:docId w15:val="{5A93877A-3951-4828-9167-5356AD60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982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Richardsen, Per Wiggo</dc:creator>
  <cp:keywords/>
  <dc:description/>
  <cp:lastModifiedBy>Richardsen, Per Wiggo</cp:lastModifiedBy>
  <cp:revision>1</cp:revision>
  <dcterms:created xsi:type="dcterms:W3CDTF">2022-06-29T09:50:00Z</dcterms:created>
  <dcterms:modified xsi:type="dcterms:W3CDTF">2022-06-29T09:51:00Z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2022-06-29T09:50:32Z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15373079-c8e2-4c5f-9ce4-9591000cc21a</vt:lpwstr>
  </property>
  <property fmtid="{D5CDD505-2E9C-101B-9397-08002B2CF9AE}" pid="8" name="MSIP_Label_22fbb032-08bf-4f1e-af46-2528cd3f96ca_ContentBits">
    <vt:lpwstr>0</vt:lpwstr>
  </property>
</Properties>
</file>